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5E" w:rsidRPr="00B0761B" w:rsidRDefault="00B8615E" w:rsidP="003819AC">
      <w:pPr>
        <w:spacing w:after="0"/>
        <w:rPr>
          <w:b/>
          <w:sz w:val="24"/>
          <w:szCs w:val="24"/>
        </w:rPr>
      </w:pPr>
      <w:r w:rsidRPr="00B0761B">
        <w:rPr>
          <w:b/>
          <w:sz w:val="24"/>
          <w:szCs w:val="24"/>
        </w:rPr>
        <w:t>VQEG</w:t>
      </w:r>
      <w:bookmarkStart w:id="0" w:name="_GoBack"/>
      <w:bookmarkEnd w:id="0"/>
      <w:r w:rsidRPr="00B0761B">
        <w:rPr>
          <w:b/>
          <w:sz w:val="24"/>
          <w:szCs w:val="24"/>
        </w:rPr>
        <w:t xml:space="preserve"> notes: Tuesday </w:t>
      </w:r>
      <w:proofErr w:type="gramStart"/>
      <w:r w:rsidRPr="00B0761B">
        <w:rPr>
          <w:b/>
          <w:sz w:val="24"/>
          <w:szCs w:val="24"/>
        </w:rPr>
        <w:t>AM</w:t>
      </w:r>
      <w:proofErr w:type="gramEnd"/>
      <w:r w:rsidRPr="00B0761B">
        <w:rPr>
          <w:b/>
          <w:sz w:val="24"/>
          <w:szCs w:val="24"/>
        </w:rPr>
        <w:t>, June 12, 2012</w:t>
      </w:r>
    </w:p>
    <w:p w:rsidR="00B8615E" w:rsidRPr="00B0761B" w:rsidRDefault="00B8615E" w:rsidP="003819AC">
      <w:pPr>
        <w:spacing w:after="0"/>
      </w:pPr>
      <w:r w:rsidRPr="00B0761B">
        <w:t xml:space="preserve">Thanks to Glen Van </w:t>
      </w:r>
      <w:proofErr w:type="spellStart"/>
      <w:r w:rsidRPr="00B0761B">
        <w:t>Wallendael</w:t>
      </w:r>
      <w:proofErr w:type="spellEnd"/>
      <w:r w:rsidRPr="00B0761B">
        <w:t xml:space="preserve"> (Ghent University) for taking notes.</w:t>
      </w:r>
    </w:p>
    <w:p w:rsidR="00B8615E" w:rsidRPr="00B0761B" w:rsidRDefault="00B8615E" w:rsidP="003819AC">
      <w:pPr>
        <w:spacing w:after="0"/>
      </w:pPr>
    </w:p>
    <w:p w:rsidR="00AF6ABE" w:rsidRDefault="005B210B" w:rsidP="003819AC">
      <w:pPr>
        <w:spacing w:after="0"/>
      </w:pPr>
      <w:r w:rsidRPr="005B210B">
        <w:rPr>
          <w:u w:val="single"/>
        </w:rPr>
        <w:t>Hybrid</w:t>
      </w:r>
      <w:r>
        <w:t xml:space="preserve"> (chaired by </w:t>
      </w:r>
      <w:proofErr w:type="spellStart"/>
      <w:r>
        <w:t>Chulhee</w:t>
      </w:r>
      <w:proofErr w:type="spellEnd"/>
      <w:r>
        <w:t xml:space="preserve"> and Jens)</w:t>
      </w:r>
    </w:p>
    <w:p w:rsidR="002F74B8" w:rsidRDefault="002F74B8" w:rsidP="003819AC">
      <w:pPr>
        <w:spacing w:after="0"/>
      </w:pPr>
    </w:p>
    <w:p w:rsidR="002F74B8" w:rsidRDefault="002F74B8" w:rsidP="003819AC">
      <w:pPr>
        <w:spacing w:after="0"/>
      </w:pPr>
      <w:r>
        <w:t>The following presentat</w:t>
      </w:r>
      <w:r w:rsidR="00471F07">
        <w:t>ion is used during this hybrid discussion:</w:t>
      </w:r>
    </w:p>
    <w:p w:rsidR="00471F07" w:rsidRDefault="00B0761B" w:rsidP="003819AC">
      <w:pPr>
        <w:spacing w:after="0"/>
      </w:pPr>
      <w:hyperlink r:id="rId6" w:history="1">
        <w:r w:rsidR="00471F07" w:rsidRPr="0094748D">
          <w:rPr>
            <w:rStyle w:val="Hyperlink"/>
          </w:rPr>
          <w:t>ftp://vqeg.its.bldrdoc.gov/Documents/VQEG_Rennes_Jun12/MeetingFiles/VQEG_HYBRID_2012_023_LEE_Hybrid%20Projects%202012-6.ppt</w:t>
        </w:r>
      </w:hyperlink>
    </w:p>
    <w:p w:rsidR="00471F07" w:rsidRDefault="00471F07" w:rsidP="003819AC">
      <w:pPr>
        <w:spacing w:after="0"/>
      </w:pPr>
    </w:p>
    <w:p w:rsidR="00471F07" w:rsidRDefault="00471F07" w:rsidP="003819AC">
      <w:pPr>
        <w:spacing w:after="0"/>
      </w:pPr>
      <w:r>
        <w:t>A completed version will be made available in the meeting files directory.</w:t>
      </w:r>
    </w:p>
    <w:p w:rsidR="002F74B8" w:rsidRDefault="002F74B8" w:rsidP="003819AC">
      <w:pPr>
        <w:spacing w:after="0"/>
      </w:pPr>
    </w:p>
    <w:p w:rsidR="005B210B" w:rsidRDefault="005B210B" w:rsidP="003819AC">
      <w:pPr>
        <w:spacing w:after="0"/>
      </w:pPr>
      <w:r w:rsidRPr="005B210B">
        <w:t xml:space="preserve">Four proponents: DT, OPTICOM, </w:t>
      </w:r>
      <w:proofErr w:type="spellStart"/>
      <w:r w:rsidRPr="005B210B">
        <w:t>SwissQual</w:t>
      </w:r>
      <w:proofErr w:type="spellEnd"/>
      <w:r w:rsidRPr="005B210B">
        <w:t xml:space="preserve">, </w:t>
      </w:r>
      <w:proofErr w:type="spellStart"/>
      <w:r w:rsidRPr="005B210B">
        <w:t>Yonsei</w:t>
      </w:r>
      <w:proofErr w:type="spellEnd"/>
    </w:p>
    <w:p w:rsidR="00CA102C" w:rsidRDefault="00CA102C" w:rsidP="003819AC">
      <w:pPr>
        <w:pStyle w:val="ListParagraph"/>
        <w:numPr>
          <w:ilvl w:val="0"/>
          <w:numId w:val="2"/>
        </w:numPr>
        <w:spacing w:after="0"/>
      </w:pPr>
      <w:r>
        <w:t>Source selection:</w:t>
      </w:r>
    </w:p>
    <w:p w:rsidR="00CA102C" w:rsidRDefault="00CA102C" w:rsidP="003819AC">
      <w:pPr>
        <w:spacing w:after="0"/>
        <w:ind w:left="360"/>
      </w:pPr>
      <w:r>
        <w:t>Margaret described the new source sequences including the secret source sequences.</w:t>
      </w:r>
      <w:r w:rsidR="00454B55">
        <w:t xml:space="preserve"> Categories of content vary between sports (boxing), underwater footage, news </w:t>
      </w:r>
      <w:proofErr w:type="gramStart"/>
      <w:r w:rsidR="00454B55">
        <w:t>sequences, …</w:t>
      </w:r>
      <w:proofErr w:type="gramEnd"/>
      <w:r w:rsidR="00454B55">
        <w:t xml:space="preserve"> about 500GB.</w:t>
      </w:r>
    </w:p>
    <w:p w:rsidR="00CA102C" w:rsidRDefault="00CA102C" w:rsidP="003819AC">
      <w:pPr>
        <w:pStyle w:val="ListParagraph"/>
        <w:numPr>
          <w:ilvl w:val="0"/>
          <w:numId w:val="2"/>
        </w:numPr>
        <w:spacing w:after="0"/>
      </w:pPr>
      <w:r>
        <w:t>Test design (full matrix, number of sources, number of HRCs, common sets)</w:t>
      </w:r>
    </w:p>
    <w:p w:rsidR="00454B55" w:rsidRDefault="00454B55" w:rsidP="003819AC">
      <w:pPr>
        <w:pStyle w:val="ListParagraph"/>
        <w:numPr>
          <w:ilvl w:val="0"/>
          <w:numId w:val="3"/>
        </w:numPr>
        <w:spacing w:after="0"/>
      </w:pPr>
      <w:r>
        <w:t xml:space="preserve">Number of </w:t>
      </w:r>
      <w:r w:rsidR="008C7A88">
        <w:t xml:space="preserve">subjective </w:t>
      </w:r>
      <w:r>
        <w:t>tests:</w:t>
      </w:r>
    </w:p>
    <w:p w:rsidR="00454B55" w:rsidRDefault="00454B55" w:rsidP="003819AC">
      <w:pPr>
        <w:spacing w:after="0"/>
        <w:ind w:left="360"/>
      </w:pPr>
      <w:r>
        <w:t xml:space="preserve">Proponents: DT (1), OPTICOM (1), </w:t>
      </w:r>
      <w:proofErr w:type="spellStart"/>
      <w:r>
        <w:t>SwissQual</w:t>
      </w:r>
      <w:proofErr w:type="spellEnd"/>
      <w:r>
        <w:t xml:space="preserve"> (1), </w:t>
      </w:r>
      <w:proofErr w:type="spellStart"/>
      <w:r>
        <w:t>Yonsei</w:t>
      </w:r>
      <w:proofErr w:type="spellEnd"/>
      <w:r>
        <w:t xml:space="preserve"> (3)</w:t>
      </w:r>
    </w:p>
    <w:p w:rsidR="00454B55" w:rsidRDefault="00454B55" w:rsidP="003819AC">
      <w:pPr>
        <w:spacing w:after="0"/>
        <w:ind w:left="360"/>
      </w:pPr>
      <w:proofErr w:type="spellStart"/>
      <w:r>
        <w:t>Kjell</w:t>
      </w:r>
      <w:proofErr w:type="spellEnd"/>
      <w:r>
        <w:t xml:space="preserve"> indicates that the following ILGs received part of the participant’s fee to run subjective tests.</w:t>
      </w:r>
    </w:p>
    <w:p w:rsidR="00454B55" w:rsidRDefault="00454B55" w:rsidP="003819AC">
      <w:pPr>
        <w:spacing w:after="0"/>
        <w:ind w:left="360"/>
      </w:pPr>
      <w:r>
        <w:t xml:space="preserve">ILGS: Ghent University (1), </w:t>
      </w:r>
      <w:proofErr w:type="spellStart"/>
      <w:r>
        <w:t>Acreo</w:t>
      </w:r>
      <w:proofErr w:type="spellEnd"/>
      <w:r>
        <w:t xml:space="preserve"> (1), AGH (1), FUB (1)</w:t>
      </w:r>
      <w:r w:rsidR="008C7A88">
        <w:t xml:space="preserve">, </w:t>
      </w:r>
      <w:r w:rsidR="008C7A88" w:rsidRPr="008C7A88">
        <w:t xml:space="preserve">University of Nantes </w:t>
      </w:r>
      <w:r>
        <w:t>(1)</w:t>
      </w:r>
    </w:p>
    <w:p w:rsidR="008C7A88" w:rsidRDefault="008C7A88" w:rsidP="003819AC">
      <w:pPr>
        <w:pStyle w:val="ListParagraph"/>
        <w:numPr>
          <w:ilvl w:val="0"/>
          <w:numId w:val="3"/>
        </w:numPr>
        <w:spacing w:after="0"/>
      </w:pPr>
      <w:r>
        <w:t>PVS generation</w:t>
      </w:r>
    </w:p>
    <w:p w:rsidR="00454B55" w:rsidRDefault="008C7A88" w:rsidP="003819AC">
      <w:pPr>
        <w:spacing w:after="0"/>
        <w:ind w:left="360"/>
      </w:pPr>
      <w:r>
        <w:t xml:space="preserve">PVS generation will be done by 3 organizations: Ghent University, FUB, </w:t>
      </w:r>
      <w:proofErr w:type="gramStart"/>
      <w:r>
        <w:t>RT</w:t>
      </w:r>
      <w:proofErr w:type="gramEnd"/>
      <w:r>
        <w:t>-RK</w:t>
      </w:r>
    </w:p>
    <w:p w:rsidR="008C7A88" w:rsidRDefault="008C7A88" w:rsidP="003819AC">
      <w:pPr>
        <w:spacing w:after="0"/>
        <w:ind w:left="360"/>
      </w:pPr>
      <w:r>
        <w:t xml:space="preserve">Jens suggests that proponents should be able to provide PVSs as well. </w:t>
      </w:r>
      <w:r>
        <w:br/>
        <w:t xml:space="preserve">Silvio mentions that test vectors are provided and that new PVSs are not checked on the models. Chris replies that test vectors should not be limiting the PVS creation. </w:t>
      </w:r>
    </w:p>
    <w:p w:rsidR="008C7A88" w:rsidRDefault="008C7A88" w:rsidP="003819AC">
      <w:pPr>
        <w:spacing w:after="0"/>
        <w:ind w:left="360"/>
      </w:pPr>
      <w:r>
        <w:t>Undecided</w:t>
      </w:r>
    </w:p>
    <w:p w:rsidR="008C7A88" w:rsidRDefault="008C7A88" w:rsidP="003819AC">
      <w:pPr>
        <w:pStyle w:val="ListParagraph"/>
        <w:numPr>
          <w:ilvl w:val="0"/>
          <w:numId w:val="3"/>
        </w:numPr>
        <w:spacing w:after="0"/>
      </w:pPr>
      <w:r>
        <w:t>Resolution</w:t>
      </w:r>
      <w:r w:rsidR="00FC138D">
        <w:t xml:space="preserve"> of subjective tests:</w:t>
      </w:r>
    </w:p>
    <w:p w:rsidR="00FC138D" w:rsidRDefault="00FC138D" w:rsidP="00FC138D">
      <w:pPr>
        <w:spacing w:after="0"/>
        <w:ind w:left="360"/>
      </w:pPr>
      <w:r>
        <w:t xml:space="preserve">Silvio proposes to change HD </w:t>
      </w:r>
      <w:proofErr w:type="gramStart"/>
      <w:r>
        <w:t>5 ;</w:t>
      </w:r>
      <w:proofErr w:type="gramEnd"/>
      <w:r>
        <w:t xml:space="preserve"> WVGA 3 ; VGA 3 to HD 6 ; WVGA 2 ; VGA 3 </w:t>
      </w:r>
    </w:p>
    <w:p w:rsidR="008C7A88" w:rsidRDefault="00FC138D" w:rsidP="003819AC">
      <w:pPr>
        <w:spacing w:after="0"/>
        <w:ind w:left="360"/>
      </w:pPr>
      <w:r>
        <w:t xml:space="preserve">Agreed on </w:t>
      </w:r>
      <w:r w:rsidR="008C7A88">
        <w:t xml:space="preserve">HD </w:t>
      </w:r>
      <w:proofErr w:type="gramStart"/>
      <w:r w:rsidR="003819AC">
        <w:t xml:space="preserve">6 </w:t>
      </w:r>
      <w:r w:rsidR="008C7A88">
        <w:t>;</w:t>
      </w:r>
      <w:proofErr w:type="gramEnd"/>
      <w:r w:rsidR="008C7A88">
        <w:t xml:space="preserve"> WVGA</w:t>
      </w:r>
      <w:r w:rsidR="003819AC">
        <w:t xml:space="preserve"> 3 </w:t>
      </w:r>
      <w:r w:rsidR="008C7A88">
        <w:t xml:space="preserve">; VGA </w:t>
      </w:r>
      <w:r w:rsidR="003819AC">
        <w:t>2</w:t>
      </w:r>
      <w:r>
        <w:t>.</w:t>
      </w:r>
    </w:p>
    <w:p w:rsidR="003819AC" w:rsidRDefault="003819AC" w:rsidP="003819AC">
      <w:pPr>
        <w:spacing w:after="0"/>
        <w:ind w:left="360"/>
      </w:pPr>
      <w:r>
        <w:t>DT: HD</w:t>
      </w:r>
    </w:p>
    <w:p w:rsidR="003819AC" w:rsidRDefault="003819AC" w:rsidP="003819AC">
      <w:pPr>
        <w:spacing w:after="0"/>
        <w:ind w:left="360"/>
      </w:pPr>
      <w:proofErr w:type="spellStart"/>
      <w:r>
        <w:t>Opticom</w:t>
      </w:r>
      <w:proofErr w:type="spellEnd"/>
      <w:r>
        <w:t>: any</w:t>
      </w:r>
    </w:p>
    <w:p w:rsidR="003819AC" w:rsidRDefault="003819AC" w:rsidP="003819AC">
      <w:pPr>
        <w:spacing w:after="0"/>
        <w:ind w:left="360"/>
      </w:pPr>
      <w:proofErr w:type="spellStart"/>
      <w:r>
        <w:t>SwissQual</w:t>
      </w:r>
      <w:proofErr w:type="spellEnd"/>
      <w:r>
        <w:t>: WVGA, VGA</w:t>
      </w:r>
    </w:p>
    <w:p w:rsidR="003819AC" w:rsidRDefault="003819AC" w:rsidP="003819AC">
      <w:pPr>
        <w:spacing w:after="0"/>
        <w:ind w:left="360"/>
      </w:pPr>
      <w:proofErr w:type="spellStart"/>
      <w:r>
        <w:t>Yonsei</w:t>
      </w:r>
      <w:proofErr w:type="spellEnd"/>
      <w:r>
        <w:t>: any</w:t>
      </w:r>
    </w:p>
    <w:p w:rsidR="003819AC" w:rsidRDefault="003819AC" w:rsidP="003819AC">
      <w:pPr>
        <w:spacing w:after="0"/>
        <w:ind w:left="360"/>
      </w:pPr>
      <w:r>
        <w:t>Ghent University: HD</w:t>
      </w:r>
    </w:p>
    <w:p w:rsidR="003819AC" w:rsidRDefault="003819AC" w:rsidP="003819AC">
      <w:pPr>
        <w:spacing w:after="0"/>
        <w:ind w:left="360"/>
      </w:pPr>
      <w:proofErr w:type="spellStart"/>
      <w:r>
        <w:t>Acreo</w:t>
      </w:r>
      <w:proofErr w:type="spellEnd"/>
      <w:r>
        <w:t>: any</w:t>
      </w:r>
    </w:p>
    <w:p w:rsidR="003819AC" w:rsidRDefault="003819AC" w:rsidP="003819AC">
      <w:pPr>
        <w:spacing w:after="0"/>
        <w:ind w:left="360"/>
      </w:pPr>
      <w:r>
        <w:t>AGH: HD</w:t>
      </w:r>
    </w:p>
    <w:p w:rsidR="003819AC" w:rsidRDefault="003819AC" w:rsidP="003819AC">
      <w:pPr>
        <w:spacing w:after="0"/>
        <w:ind w:left="360"/>
      </w:pPr>
      <w:r>
        <w:t>FUB: HD</w:t>
      </w:r>
    </w:p>
    <w:p w:rsidR="003819AC" w:rsidRDefault="003819AC" w:rsidP="003819AC">
      <w:pPr>
        <w:spacing w:after="0"/>
        <w:ind w:left="360"/>
      </w:pPr>
      <w:r>
        <w:t>University of Nantes: HD</w:t>
      </w:r>
    </w:p>
    <w:p w:rsidR="00FC138D" w:rsidRDefault="00FC138D" w:rsidP="003819AC">
      <w:pPr>
        <w:spacing w:after="0"/>
        <w:ind w:left="360"/>
      </w:pPr>
    </w:p>
    <w:p w:rsidR="00FC138D" w:rsidRDefault="00FC138D" w:rsidP="003819AC">
      <w:pPr>
        <w:spacing w:after="0"/>
        <w:ind w:left="360"/>
      </w:pPr>
      <w:r>
        <w:t>As a result, resolutions are divided as follows:</w:t>
      </w:r>
    </w:p>
    <w:p w:rsidR="00FC138D" w:rsidRDefault="00FC138D" w:rsidP="003819AC">
      <w:pPr>
        <w:spacing w:after="0"/>
        <w:ind w:left="360"/>
      </w:pPr>
      <w:r>
        <w:t xml:space="preserve">HD: DT, Ghent University, AGH, FUB, Nantes, </w:t>
      </w:r>
      <w:proofErr w:type="spellStart"/>
      <w:r>
        <w:t>Yonsei</w:t>
      </w:r>
      <w:proofErr w:type="spellEnd"/>
    </w:p>
    <w:p w:rsidR="00FC138D" w:rsidRDefault="00FC138D" w:rsidP="003819AC">
      <w:pPr>
        <w:spacing w:after="0"/>
        <w:ind w:left="360"/>
      </w:pPr>
      <w:r>
        <w:lastRenderedPageBreak/>
        <w:t xml:space="preserve">WVGA: </w:t>
      </w:r>
      <w:proofErr w:type="spellStart"/>
      <w:r>
        <w:t>SwissQual</w:t>
      </w:r>
      <w:proofErr w:type="spellEnd"/>
      <w:r>
        <w:t xml:space="preserve">, </w:t>
      </w:r>
      <w:proofErr w:type="spellStart"/>
      <w:r>
        <w:t>Acreo</w:t>
      </w:r>
      <w:proofErr w:type="spellEnd"/>
      <w:r>
        <w:t xml:space="preserve">, </w:t>
      </w:r>
      <w:proofErr w:type="spellStart"/>
      <w:r>
        <w:t>Yonsei</w:t>
      </w:r>
      <w:proofErr w:type="spellEnd"/>
    </w:p>
    <w:p w:rsidR="00FC138D" w:rsidRDefault="00FC138D" w:rsidP="003819AC">
      <w:pPr>
        <w:spacing w:after="0"/>
        <w:ind w:left="360"/>
      </w:pPr>
      <w:r>
        <w:t xml:space="preserve">VGA: </w:t>
      </w:r>
      <w:proofErr w:type="spellStart"/>
      <w:r>
        <w:t>Yonsei</w:t>
      </w:r>
      <w:proofErr w:type="spellEnd"/>
      <w:r>
        <w:t xml:space="preserve">, </w:t>
      </w:r>
      <w:proofErr w:type="spellStart"/>
      <w:r>
        <w:t>Opticom</w:t>
      </w:r>
      <w:proofErr w:type="spellEnd"/>
    </w:p>
    <w:p w:rsidR="00FC138D" w:rsidRDefault="00FC138D" w:rsidP="003819AC">
      <w:pPr>
        <w:spacing w:after="0"/>
        <w:ind w:left="360"/>
      </w:pPr>
    </w:p>
    <w:p w:rsidR="00FC138D" w:rsidRDefault="00C2524B" w:rsidP="003819AC">
      <w:pPr>
        <w:spacing w:after="0"/>
        <w:ind w:left="360"/>
      </w:pPr>
      <w:r>
        <w:t xml:space="preserve">Jens indicates that when proponents can make the PVS, they can introduce scenarios which work well with their model. This could happen undetected by the others. </w:t>
      </w:r>
      <w:r w:rsidR="007E4B7F">
        <w:t xml:space="preserve">As a solution, </w:t>
      </w:r>
      <w:proofErr w:type="spellStart"/>
      <w:r w:rsidR="007E4B7F">
        <w:t>Chulhee</w:t>
      </w:r>
      <w:proofErr w:type="spellEnd"/>
      <w:r w:rsidR="007E4B7F">
        <w:t xml:space="preserve"> proposes that a lab should not generate, and subjectively evaluate more than 50% of its PVS. This proposed compromise is already in the </w:t>
      </w:r>
      <w:proofErr w:type="spellStart"/>
      <w:r w:rsidR="007E4B7F">
        <w:t>testplan</w:t>
      </w:r>
      <w:proofErr w:type="spellEnd"/>
      <w:r w:rsidR="007E4B7F">
        <w:t xml:space="preserve">. </w:t>
      </w:r>
    </w:p>
    <w:p w:rsidR="00FC138D" w:rsidRDefault="00FC138D" w:rsidP="003819AC">
      <w:pPr>
        <w:spacing w:after="0"/>
        <w:ind w:left="360"/>
      </w:pPr>
    </w:p>
    <w:p w:rsidR="007E4B7F" w:rsidRDefault="007E4B7F" w:rsidP="007E4B7F">
      <w:pPr>
        <w:pStyle w:val="ListParagraph"/>
        <w:numPr>
          <w:ilvl w:val="0"/>
          <w:numId w:val="3"/>
        </w:numPr>
        <w:spacing w:after="0"/>
      </w:pPr>
      <w:r>
        <w:t>number of sources</w:t>
      </w:r>
    </w:p>
    <w:p w:rsidR="007E4B7F" w:rsidRDefault="007E4B7F" w:rsidP="003819AC">
      <w:pPr>
        <w:spacing w:after="0"/>
        <w:ind w:left="360"/>
      </w:pPr>
      <w:r>
        <w:t>10</w:t>
      </w:r>
      <w:r w:rsidR="006A1D5A">
        <w:t xml:space="preserve"> -&gt; 16</w:t>
      </w:r>
    </w:p>
    <w:p w:rsidR="007E4B7F" w:rsidRDefault="007E4B7F" w:rsidP="007E4B7F">
      <w:pPr>
        <w:pStyle w:val="ListParagraph"/>
        <w:numPr>
          <w:ilvl w:val="0"/>
          <w:numId w:val="3"/>
        </w:numPr>
        <w:spacing w:after="0"/>
      </w:pPr>
      <w:r>
        <w:t>number of HRCs</w:t>
      </w:r>
    </w:p>
    <w:p w:rsidR="007E4B7F" w:rsidRDefault="006A1D5A" w:rsidP="003819AC">
      <w:pPr>
        <w:spacing w:after="0"/>
        <w:ind w:left="360"/>
      </w:pPr>
      <w:r>
        <w:t xml:space="preserve">10 -&gt; </w:t>
      </w:r>
      <w:r w:rsidR="007E4B7F">
        <w:t>15</w:t>
      </w:r>
    </w:p>
    <w:p w:rsidR="007E4B7F" w:rsidRDefault="007E4B7F" w:rsidP="007E4B7F">
      <w:pPr>
        <w:pStyle w:val="ListParagraph"/>
        <w:numPr>
          <w:ilvl w:val="0"/>
          <w:numId w:val="3"/>
        </w:numPr>
        <w:spacing w:after="0"/>
      </w:pPr>
      <w:r>
        <w:t>common sets</w:t>
      </w:r>
    </w:p>
    <w:p w:rsidR="007E4B7F" w:rsidRDefault="007E4B7F" w:rsidP="003819AC">
      <w:pPr>
        <w:spacing w:after="0"/>
        <w:ind w:left="360"/>
      </w:pPr>
      <w:r>
        <w:t>24</w:t>
      </w:r>
    </w:p>
    <w:p w:rsidR="006A1D5A" w:rsidRDefault="006A1D5A" w:rsidP="003819AC">
      <w:pPr>
        <w:spacing w:after="0"/>
        <w:ind w:left="360"/>
      </w:pPr>
    </w:p>
    <w:p w:rsidR="006A1D5A" w:rsidRDefault="006A1D5A" w:rsidP="003819AC">
      <w:pPr>
        <w:spacing w:after="0"/>
        <w:ind w:left="360"/>
      </w:pPr>
      <w:r>
        <w:t xml:space="preserve">Margaret: Previous tests did not have enough good source </w:t>
      </w:r>
      <w:r w:rsidR="00895015">
        <w:t>sequences. W</w:t>
      </w:r>
      <w:r>
        <w:t>ith this test</w:t>
      </w:r>
      <w:r w:rsidR="00895015">
        <w:t>,</w:t>
      </w:r>
      <w:r>
        <w:t xml:space="preserve"> more sequences are available </w:t>
      </w:r>
      <w:r w:rsidR="00895015">
        <w:t>which</w:t>
      </w:r>
      <w:r>
        <w:t xml:space="preserve"> could improve the test.</w:t>
      </w:r>
    </w:p>
    <w:p w:rsidR="007E4B7F" w:rsidRDefault="007E4B7F" w:rsidP="003819AC">
      <w:pPr>
        <w:spacing w:after="0"/>
        <w:ind w:left="360"/>
      </w:pPr>
    </w:p>
    <w:p w:rsidR="007E4B7F" w:rsidRDefault="007E4B7F" w:rsidP="003819AC">
      <w:pPr>
        <w:spacing w:after="0"/>
        <w:ind w:left="360"/>
      </w:pPr>
    </w:p>
    <w:p w:rsidR="00CA102C" w:rsidRDefault="00CA102C" w:rsidP="003819AC">
      <w:pPr>
        <w:pStyle w:val="ListParagraph"/>
        <w:numPr>
          <w:ilvl w:val="0"/>
          <w:numId w:val="2"/>
        </w:numPr>
        <w:spacing w:after="0"/>
      </w:pPr>
      <w:r>
        <w:t>Encoder and decoders</w:t>
      </w:r>
    </w:p>
    <w:p w:rsidR="002F74B8" w:rsidRDefault="002F74B8" w:rsidP="002F74B8">
      <w:pPr>
        <w:spacing w:after="0"/>
        <w:ind w:left="360"/>
      </w:pPr>
      <w:r>
        <w:t>Agreed: Different decoders than the ones used in the test vectors can be used.</w:t>
      </w:r>
    </w:p>
    <w:p w:rsidR="002F74B8" w:rsidRDefault="002F74B8" w:rsidP="002F74B8">
      <w:pPr>
        <w:spacing w:after="0"/>
        <w:ind w:left="360"/>
      </w:pPr>
    </w:p>
    <w:p w:rsidR="00CA102C" w:rsidRDefault="00CA102C" w:rsidP="003819AC">
      <w:pPr>
        <w:pStyle w:val="ListParagraph"/>
        <w:numPr>
          <w:ilvl w:val="0"/>
          <w:numId w:val="2"/>
        </w:numPr>
        <w:spacing w:after="0"/>
      </w:pPr>
      <w:r>
        <w:t>Transport protocol</w:t>
      </w:r>
    </w:p>
    <w:p w:rsidR="002F74B8" w:rsidRDefault="002F74B8" w:rsidP="002F74B8">
      <w:pPr>
        <w:spacing w:after="0"/>
        <w:ind w:left="360"/>
      </w:pPr>
    </w:p>
    <w:p w:rsidR="005B210B" w:rsidRDefault="00CA102C" w:rsidP="003819AC">
      <w:pPr>
        <w:pStyle w:val="ListParagraph"/>
        <w:numPr>
          <w:ilvl w:val="0"/>
          <w:numId w:val="2"/>
        </w:numPr>
        <w:spacing w:after="0"/>
      </w:pPr>
      <w:r>
        <w:t>Schedule</w:t>
      </w:r>
    </w:p>
    <w:p w:rsidR="00895015" w:rsidRDefault="00895015" w:rsidP="00895015">
      <w:pPr>
        <w:pStyle w:val="ListParagraph"/>
      </w:pPr>
    </w:p>
    <w:p w:rsidR="002F74B8" w:rsidRDefault="00471F07" w:rsidP="00895015">
      <w:pPr>
        <w:pStyle w:val="ListParagraph"/>
        <w:numPr>
          <w:ilvl w:val="0"/>
          <w:numId w:val="4"/>
        </w:numPr>
        <w:spacing w:after="0"/>
      </w:pPr>
      <w:r>
        <w:t>D</w:t>
      </w:r>
      <w:r w:rsidR="002F74B8">
        <w:t xml:space="preserve">ates are </w:t>
      </w:r>
      <w:r>
        <w:t>fixed</w:t>
      </w:r>
      <w:r w:rsidR="002F74B8">
        <w:t xml:space="preserve"> on the schedule in the presentation. </w:t>
      </w:r>
    </w:p>
    <w:p w:rsidR="00471F07" w:rsidRDefault="00471F07" w:rsidP="00895015">
      <w:pPr>
        <w:pStyle w:val="ListParagraph"/>
        <w:numPr>
          <w:ilvl w:val="0"/>
          <w:numId w:val="4"/>
        </w:numPr>
        <w:spacing w:after="0"/>
      </w:pPr>
      <w:r>
        <w:t xml:space="preserve">It is suggested that the draft final report should be scheduled during the next VQEG meeting, because face to face discussion is more productive when drafting the final report. Therefore, the date of the next meeting should be chosen such that the hybrid project is able to get to that stage. Arthur suggests </w:t>
      </w:r>
      <w:r w:rsidR="00895015">
        <w:t>discussing</w:t>
      </w:r>
      <w:r>
        <w:t xml:space="preserve"> the date of the next meeting later this week</w:t>
      </w:r>
      <w:r w:rsidR="00895015">
        <w:t xml:space="preserve"> after this schedule is fixed</w:t>
      </w:r>
      <w:r>
        <w:t xml:space="preserve">. </w:t>
      </w:r>
    </w:p>
    <w:p w:rsidR="00353B46" w:rsidRDefault="00895015" w:rsidP="00895015">
      <w:pPr>
        <w:pStyle w:val="ListParagraph"/>
        <w:numPr>
          <w:ilvl w:val="0"/>
          <w:numId w:val="4"/>
        </w:numPr>
        <w:spacing w:after="0"/>
      </w:pPr>
      <w:r>
        <w:t>Margaret suggests a subgroup can meet to draft the final report at any time. The draft can then be sent over the reflector for approval.</w:t>
      </w:r>
    </w:p>
    <w:p w:rsidR="00895015" w:rsidRDefault="005D2BF4" w:rsidP="00895015">
      <w:pPr>
        <w:pStyle w:val="ListParagraph"/>
        <w:numPr>
          <w:ilvl w:val="0"/>
          <w:numId w:val="4"/>
        </w:numPr>
        <w:spacing w:after="0"/>
      </w:pPr>
      <w:r>
        <w:t>In general, the schedule is shortened to 9 months</w:t>
      </w:r>
    </w:p>
    <w:p w:rsidR="005D2BF4" w:rsidRDefault="005D2BF4" w:rsidP="005D2BF4">
      <w:pPr>
        <w:spacing w:after="0"/>
      </w:pPr>
    </w:p>
    <w:p w:rsidR="005D2BF4" w:rsidRDefault="005D2BF4" w:rsidP="005D2BF4">
      <w:pPr>
        <w:spacing w:after="0"/>
      </w:pPr>
    </w:p>
    <w:p w:rsidR="005D2BF4" w:rsidRDefault="005D2BF4" w:rsidP="005D2BF4">
      <w:pPr>
        <w:spacing w:after="0"/>
      </w:pPr>
      <w:r>
        <w:t xml:space="preserve">Next </w:t>
      </w:r>
      <w:r w:rsidR="003B00A6">
        <w:t>is</w:t>
      </w:r>
      <w:r>
        <w:t xml:space="preserve"> </w:t>
      </w:r>
      <w:r w:rsidR="003B00A6">
        <w:t>a</w:t>
      </w:r>
      <w:r>
        <w:t xml:space="preserve"> discussion of the following checklist</w:t>
      </w:r>
      <w:r w:rsidR="003B00A6">
        <w:t>:</w:t>
      </w:r>
      <w:r>
        <w:t xml:space="preserve"> </w:t>
      </w:r>
      <w:r w:rsidRPr="005D2BF4">
        <w:t>EvalDatabase_CheckList.doc</w:t>
      </w:r>
      <w:r>
        <w:t xml:space="preserve"> sent by </w:t>
      </w:r>
      <w:r w:rsidRPr="005D2BF4">
        <w:t xml:space="preserve">Matthias </w:t>
      </w:r>
      <w:proofErr w:type="spellStart"/>
      <w:r w:rsidRPr="005D2BF4">
        <w:t>Obermann</w:t>
      </w:r>
      <w:proofErr w:type="spellEnd"/>
      <w:r>
        <w:t>. All the information given in this document will be made available in the test plan.</w:t>
      </w:r>
    </w:p>
    <w:p w:rsidR="005D2BF4" w:rsidRDefault="005D2BF4" w:rsidP="005D2BF4">
      <w:pPr>
        <w:spacing w:after="0"/>
        <w:ind w:left="360"/>
      </w:pPr>
    </w:p>
    <w:p w:rsidR="004B658B" w:rsidRDefault="004B658B" w:rsidP="005D2BF4">
      <w:pPr>
        <w:spacing w:after="0"/>
        <w:ind w:left="360"/>
      </w:pPr>
      <w:proofErr w:type="spellStart"/>
      <w:r>
        <w:t>Bitstream</w:t>
      </w:r>
      <w:proofErr w:type="spellEnd"/>
      <w:r>
        <w:t xml:space="preserve"> </w:t>
      </w:r>
      <w:proofErr w:type="spellStart"/>
      <w:r>
        <w:t>demuxer</w:t>
      </w:r>
      <w:proofErr w:type="spellEnd"/>
      <w:r>
        <w:t>:</w:t>
      </w:r>
    </w:p>
    <w:p w:rsidR="004B658B" w:rsidRDefault="004B658B" w:rsidP="004B658B">
      <w:pPr>
        <w:spacing w:after="0"/>
        <w:ind w:left="720"/>
      </w:pPr>
      <w:proofErr w:type="spellStart"/>
      <w:r>
        <w:lastRenderedPageBreak/>
        <w:t>PCAPtoTS</w:t>
      </w:r>
      <w:proofErr w:type="spellEnd"/>
      <w:r>
        <w:t xml:space="preserve"> may be used until </w:t>
      </w:r>
      <w:proofErr w:type="spellStart"/>
      <w:r>
        <w:t>AnnexBExtractor</w:t>
      </w:r>
      <w:proofErr w:type="spellEnd"/>
      <w:r>
        <w:t xml:space="preserve"> is able to handle all the required transport protocols.</w:t>
      </w:r>
    </w:p>
    <w:sectPr w:rsidR="004B658B" w:rsidSect="00A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3457"/>
    <w:multiLevelType w:val="hybridMultilevel"/>
    <w:tmpl w:val="489C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07826"/>
    <w:multiLevelType w:val="hybridMultilevel"/>
    <w:tmpl w:val="12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976FA"/>
    <w:multiLevelType w:val="hybridMultilevel"/>
    <w:tmpl w:val="A114F8A0"/>
    <w:lvl w:ilvl="0" w:tplc="E06ABDA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E16A6"/>
    <w:multiLevelType w:val="hybridMultilevel"/>
    <w:tmpl w:val="CDB41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353B46"/>
    <w:rsid w:val="002F74B8"/>
    <w:rsid w:val="00353B46"/>
    <w:rsid w:val="003819AC"/>
    <w:rsid w:val="003B00A6"/>
    <w:rsid w:val="00454B55"/>
    <w:rsid w:val="00471F07"/>
    <w:rsid w:val="004B658B"/>
    <w:rsid w:val="005B210B"/>
    <w:rsid w:val="005D2BF4"/>
    <w:rsid w:val="006A1D5A"/>
    <w:rsid w:val="0079617B"/>
    <w:rsid w:val="007E4B7F"/>
    <w:rsid w:val="00895015"/>
    <w:rsid w:val="008C7A88"/>
    <w:rsid w:val="0099642C"/>
    <w:rsid w:val="00AF6ABE"/>
    <w:rsid w:val="00B0761B"/>
    <w:rsid w:val="00B8615E"/>
    <w:rsid w:val="00C2524B"/>
    <w:rsid w:val="00CA102C"/>
    <w:rsid w:val="00E04E91"/>
    <w:rsid w:val="00E05E6A"/>
    <w:rsid w:val="00E72DCC"/>
    <w:rsid w:val="00FC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2C"/>
    <w:pPr>
      <w:ind w:left="720"/>
      <w:contextualSpacing/>
    </w:pPr>
  </w:style>
  <w:style w:type="character" w:styleId="Hyperlink">
    <w:name w:val="Hyperlink"/>
    <w:basedOn w:val="DefaultParagraphFont"/>
    <w:uiPriority w:val="99"/>
    <w:unhideWhenUsed/>
    <w:rsid w:val="00471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vqeg.its.bldrdoc.gov/Documents/VQEG_Rennes_Jun12/MeetingFiles/VQEG_HYBRID_2012_023_LEE_Hybrid%20Projects%202012-6.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UGent - MMLab</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de Walle</dc:creator>
  <cp:keywords/>
  <dc:description/>
  <cp:lastModifiedBy>Arthur Webster</cp:lastModifiedBy>
  <cp:revision>13</cp:revision>
  <dcterms:created xsi:type="dcterms:W3CDTF">2012-06-12T07:37:00Z</dcterms:created>
  <dcterms:modified xsi:type="dcterms:W3CDTF">2012-06-12T14:38:00Z</dcterms:modified>
</cp:coreProperties>
</file>